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/>
        <w:drawing>
          <wp:inline distT="0" distB="0" distL="0" distR="0">
            <wp:extent cx="4505960" cy="1066800"/>
            <wp:effectExtent l="0" t="0" r="0" b="0"/>
            <wp:docPr id="1" name="Obrázek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 xml:space="preserve">Zpráva o hodnocení </w:t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>studijního programu – vyjádření člena RVH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000000" w:themeColor="text1"/>
          <w:sz w:val="36"/>
          <w:szCs w:val="36"/>
        </w:rPr>
      </w:pPr>
      <w:r>
        <w:rPr>
          <w:rFonts w:cs="Arial"/>
          <w:b/>
          <w:color w:val="000000" w:themeColor="text1"/>
          <w:sz w:val="36"/>
          <w:szCs w:val="36"/>
        </w:rPr>
        <w:t xml:space="preserve">Navazující magisterský studijní program 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38"/>
          <w:szCs w:val="38"/>
        </w:rPr>
      </w:pPr>
      <w:r>
        <w:rPr>
          <w:rFonts w:cs="Arial"/>
          <w:color w:val="C45911" w:themeColor="accent2" w:themeShade="bf"/>
          <w:sz w:val="38"/>
          <w:szCs w:val="38"/>
        </w:rPr>
        <w:t xml:space="preserve">Univerzita Tomáše Bati ve Zlíně </w:t>
      </w:r>
    </w:p>
    <w:p>
      <w:pPr>
        <w:pStyle w:val="Normal"/>
        <w:ind w:right="454" w:hanging="0"/>
        <w:jc w:val="right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52"/>
        </w:rPr>
      </w:pPr>
      <w:r>
        <w:rPr>
          <w:rFonts w:cs="Arial"/>
          <w:b/>
          <w:color w:val="7030A0"/>
          <w:sz w:val="52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09/2023</w:t>
      </w:r>
    </w:p>
    <w:p>
      <w:pPr>
        <w:pStyle w:val="NoSpacing"/>
        <w:ind w:right="113" w:hanging="0"/>
        <w:rPr>
          <w:rFonts w:ascii="Arial" w:hAnsi="Arial" w:cs="Arial"/>
          <w:color w:val="800080"/>
        </w:rPr>
      </w:pPr>
      <w:r>
        <w:rPr>
          <w:rFonts w:cs="Arial" w:ascii="Arial" w:hAnsi="Arial"/>
          <w:color w:val="8000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rmal"/>
        <w:ind w:right="454" w:hanging="0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rPr>
          <w:rFonts w:cs="Arial"/>
          <w:color w:val="7030A0"/>
          <w:sz w:val="32"/>
          <w:szCs w:val="32"/>
        </w:rPr>
      </w:pPr>
      <w:r>
        <w:rPr>
          <w:rFonts w:cs="Arial"/>
          <w:color w:val="7030A0"/>
          <w:sz w:val="32"/>
          <w:szCs w:val="32"/>
        </w:rPr>
      </w:r>
      <w:bookmarkStart w:id="0" w:name="_GoBack"/>
      <w:bookmarkStart w:id="1" w:name="_GoBack"/>
      <w:bookmarkEnd w:id="1"/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Fakulta: Fakulta multimediálních komunikací</w:t>
      </w:r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Studijní program: Marketingová komunikace</w:t>
      </w:r>
    </w:p>
    <w:p>
      <w:pPr>
        <w:sectPr>
          <w:footerReference w:type="default" r:id="rId3"/>
          <w:type w:val="nextPage"/>
          <w:pgSz w:w="11906" w:h="16838"/>
          <w:pgMar w:left="1417" w:right="1417" w:header="0" w:top="1417" w:footer="708" w:bottom="1417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Garant studijního programu: doc. PhDr. Blandína Šramová, Ph.D.</w:t>
      </w:r>
    </w:p>
    <w:p>
      <w:pPr>
        <w:pStyle w:val="NoSpacing"/>
        <w:ind w:right="283" w:hanging="0"/>
        <w:rPr>
          <w:rFonts w:ascii="Arial" w:hAnsi="Arial" w:cs="Arial"/>
          <w:b/>
          <w:b/>
          <w:szCs w:val="22"/>
        </w:rPr>
      </w:pPr>
      <w:r>
        <w:rPr>
          <w:rFonts w:cs="Arial" w:ascii="Arial" w:hAnsi="Arial"/>
          <w:b/>
          <w:szCs w:val="22"/>
        </w:rPr>
        <w:t>Zpracovatel posudku: doc. Mgr. Roman Trušník, Ph.D.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tbl>
      <w:tblPr>
        <w:tblStyle w:val="Mkatabulky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22"/>
        <w:gridCol w:w="2039"/>
      </w:tblGrid>
      <w:tr>
        <w:trPr>
          <w:trHeight w:val="357" w:hRule="atLeast"/>
        </w:trPr>
        <w:tc>
          <w:tcPr>
            <w:tcW w:w="7022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Oblast hodnocení studijního programu (dále jen „SP“)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2"/>
            </w:r>
          </w:p>
        </w:tc>
        <w:tc>
          <w:tcPr>
            <w:tcW w:w="2039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Hodnotící stanovisko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3"/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2.) Sebehodnotící zprávy- „Šetření zpětné vazby“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výsledky šetření zpětné vazby na svou činnost a promítá jejich zjištění do realizace a rozvoje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3.) Sebehodnotící zprávy – „Tvůrčí činnosti související se vzdělávací činností“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dostatečnou tvůrčí činnost a promítá jí do vzdělávací činnosti v rámci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4.)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„Mezinárodní rozměr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mezinárodní rozměr z hlediska profilu absolventa a zaměření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 částečně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5.)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„Výsledky hodnocení bakalářských/diplomových/dizertačních prací“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opatření pro kvalitu vedení bakalářských / diplomových / dizertačních prací.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6.)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„Úspěšnost v přijímacím řízení“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počet uchazečů pro svou realizaci a zavedena opatření na podporu zájmu o studium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7.)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„Neúspěšnost ve studiu a řádné ukončování studia“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neúspěšnost ve studiu a má zavedena opatření pro podporu snižování neúspěšnosti studia.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8.)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„Nezaměstnanost absolventů“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nezaměstnanost absolventů a má zavedena opatření po podporu snižování nezaměstnanosti absolventů.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9.)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„Pedagogické, vědecké a technické zajištění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je dostatečně zajištěn po stránce personální, vědecké a technické.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10.)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„SWOT analýza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jasně zhodnoceny silné a slabé stránky, stejně jako příležitosti a hrozby další realizace. Na jejich základě má pak SP formulována adekvátní opatření dalšího rozvoje.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Style w:val="Mkatabulky"/>
        <w:tblW w:w="906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67"/>
      </w:tblGrid>
      <w:tr>
        <w:trPr>
          <w:trHeight w:val="603" w:hRule="atLeast"/>
        </w:trPr>
        <w:tc>
          <w:tcPr>
            <w:tcW w:w="9067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Celkové hodnocení SP</w:t>
            </w:r>
          </w:p>
        </w:tc>
      </w:tr>
      <w:tr>
        <w:trPr>
          <w:trHeight w:val="357" w:hRule="atLeast"/>
        </w:trPr>
        <w:tc>
          <w:tcPr>
            <w:tcW w:w="9067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bookmarkStart w:id="2" w:name="__DdeLink__162_3607480006"/>
            <w:r>
              <w:rPr>
                <w:rFonts w:cs="Arial" w:ascii="Arial" w:hAnsi="Arial"/>
                <w:sz w:val="20"/>
              </w:rPr>
              <w:t>Zdůvodnění hodnotících stanovisek k jednotlivým oblastem SP uvedeným výše: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Fakulta reflektuje hodnocení programu ze strany studentů, absolventů i zaměstnavatelů, byť stejně jako v řadě dalších studijních programů </w:t>
            </w:r>
            <w:r>
              <w:rPr>
                <w:rFonts w:cs="Arial" w:ascii="Arial" w:hAnsi="Arial"/>
                <w:sz w:val="20"/>
                <w:szCs w:val="20"/>
              </w:rPr>
              <w:t>byla návratnost dotazníků v šetření v roce 2021 ze strany zaměstnavatelů minimální (to je však mimo vliv fakulty).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Tvůrčí činnost odpovídá realizovanému programu, včetně projektové činnosti (TA ČR Gamma) a spolupráce s firemním a veřejným sektorem. Předložená bibliografie publikačních výstupů je výběrová, spíše s menším zastoupením výstupů v databázích Web of Science a Scopus, na což ostatně upozorňují předkladatelé zprávy v závěrečné SWOT analýze.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Tvůrčí činnost studentů odpovídá očekávání u profesně zaměřeného studijního programu; vzhledem k charakteru oboru se zde tvůrčí činnost pohybuje mimo tradiční publikační činnost či činnost výzkumnou, resp. participaci na výzkumných projektech.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Přestože aktivity směřující k rozvoji mezinárodního rozměru SP se jeví dostatečné, sama fakulta ve SWOT analýze přiznává, že "Studijní program má vysoký kredit zejména na tuzemské (ČR + SR) úrovni, mezinárodní kredit je omezený".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Systém hodnocení diplomových prací vede ke zohledňování zjištění ve vzdělávací činnosti a upřesňování požadavků na studenty dalších ročníků.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Studijní neúspěšnost je nízká, fakulta za tímto vidí individuální přístup ke studentům. Nezaměstnanost absolventů se pohybuje v jednotkách, byť v procentním vyjádření toto číslo působí méně impozantně.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Pedagogické zajištění je stabilní a pro profesně zaměřený studijní program adekvátní, tomuto typu SP odpovídá i množství odborníků z praxe.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Doporučení pro rozvoj SP:</w:t>
            </w:r>
          </w:p>
          <w:p>
            <w:pPr>
              <w:pStyle w:val="NoSpacing"/>
              <w:spacing w:before="40" w:after="40"/>
              <w:ind w:right="284" w:hanging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Směry rozvoje SP nastiňuje v kontrolní zprávě sama fakulta, která se chce zaměřit na kvalitu výuky, její monitoring, reflexi výsledků v nastavení studijního programu; podílení se na výzkumu a vývoji trendů v oblasti marketingové komunikace; mezioborovou spolupráci, provázanost a návaznost oborů a uplatnitelnost absolventů; rozvoj personálního zabezpečení; a budování pozitivní image oboru a positioningu značky s konkurenční výhodou v propojení s ostatními studijními programy FMK. Tento plán rozvoje lze akceptovat, doporučuji se dále zaměřit na posilování mezinárodního rozměru sahajícího i za středoevropský region, a zvláště u magisterského studijního programu i na publikační činnost indexovanou v databázích Web of Science a Scopus, což je důležitý faktor v personálním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růstu pracovníků podílejících se na realizaci SP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  <w:bookmarkEnd w:id="2"/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11. 9. 2023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………………………</w:t>
      </w:r>
      <w:r>
        <w:rPr>
          <w:rFonts w:cs="Arial" w:ascii="Arial" w:hAnsi="Arial"/>
          <w:sz w:val="20"/>
        </w:rPr>
        <w:t>..</w:t>
        <w:tab/>
        <w:tab/>
        <w:tab/>
        <w:tab/>
        <w:tab/>
        <w:t>………………………………………...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Datum</w:t>
        <w:tab/>
        <w:tab/>
        <w:tab/>
        <w:tab/>
        <w:tab/>
        <w:tab/>
        <w:t xml:space="preserve">           Podpis oponenta studijního programu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Trebuchet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>Formulář je platný pro 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57498254"/>
    </w:sdtPr>
    <w:sdtContent>
      <w:p>
        <w:pPr>
          <w:pStyle w:val="Zpat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  <w:p>
        <w:pPr>
          <w:pStyle w:val="Zpat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>Formulář je platný pro 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arou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Jednotlivé oblasti hodnocení SP korespondují se strukturou Sebehodnotící zprávy garanta SP.</w:t>
      </w:r>
    </w:p>
  </w:footnote>
  <w:footnote w:id="3">
    <w:p>
      <w:pPr>
        <w:pStyle w:val="Poznmkapodarou"/>
        <w:jc w:val="both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V Případě hodnocení je třeba uvést jednu z možnosti naplnění standardu: splňuje uvedený standard; splňuje částečně či nesplňuje standard. Zdůvodnění splnění/nesplnění standardů je možné uvést v rámci celkového hodnocení SP.</w:t>
      </w:r>
    </w:p>
  </w:footnote>
</w:footnotes>
</file>

<file path=word/settings.xml><?xml version="1.0" encoding="utf-8"?>
<w:settings xmlns:w="http://schemas.openxmlformats.org/wordprocessingml/2006/main">
  <w:zoom w:percent="2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6284c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24846"/>
    <w:rPr>
      <w:rFonts w:ascii="Arial" w:hAnsi="Arial"/>
      <w:sz w:val="20"/>
      <w:szCs w:val="20"/>
    </w:rPr>
  </w:style>
  <w:style w:type="character" w:styleId="ZpatChar" w:customStyle="1">
    <w:name w:val="Zápatí Char"/>
    <w:basedOn w:val="DefaultParagraphFont"/>
    <w:link w:val="Zpat"/>
    <w:uiPriority w:val="99"/>
    <w:qFormat/>
    <w:rsid w:val="00a24846"/>
    <w:rPr>
      <w:rFonts w:ascii="Arial" w:hAnsi="Arial"/>
      <w:sz w:val="20"/>
      <w:szCs w:val="20"/>
    </w:rPr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1e045c"/>
    <w:rPr>
      <w:rFonts w:ascii="Arial" w:hAnsi="Arial"/>
      <w:sz w:val="20"/>
      <w:szCs w:val="20"/>
    </w:rPr>
  </w:style>
  <w:style w:type="character" w:styleId="Ukotvenpoznmkypodarou">
    <w:name w:val="Ukotvení poznámky pod čarou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e045c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d1011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qFormat/>
    <w:rsid w:val="00cd1011"/>
    <w:rPr>
      <w:rFonts w:ascii="Arial" w:hAnsi="Arial"/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cd1011"/>
    <w:rPr>
      <w:rFonts w:ascii="Arial" w:hAnsi="Arial"/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d1011"/>
    <w:rPr>
      <w:rFonts w:ascii="Segoe UI" w:hAnsi="Segoe UI" w:cs="Segoe UI"/>
      <w:sz w:val="18"/>
      <w:szCs w:val="18"/>
    </w:rPr>
  </w:style>
  <w:style w:type="character" w:styleId="Internetovodkaz">
    <w:name w:val="Internetový odkaz"/>
    <w:basedOn w:val="DefaultParagraphFont"/>
    <w:uiPriority w:val="99"/>
    <w:unhideWhenUsed/>
    <w:rsid w:val="00af4443"/>
    <w:rPr>
      <w:color w:val="0563C1" w:themeColor="hyperlink"/>
      <w:u w:val="single"/>
    </w:rPr>
  </w:style>
  <w:style w:type="character" w:styleId="Znakypropoznmkupodarou">
    <w:name w:val="Znaky pro poznámku pod čarou"/>
    <w:qFormat/>
    <w:rPr/>
  </w:style>
  <w:style w:type="character" w:styleId="Ukotvenvysvtlivky">
    <w:name w:val="Ukotvení vysvětlivky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uiPriority w:val="1"/>
    <w:qFormat/>
    <w:rsid w:val="00a6284c"/>
    <w:pPr>
      <w:widowControl w:val="false"/>
      <w:suppressAutoHyphens w:val="true"/>
      <w:bidi w:val="0"/>
      <w:spacing w:lineRule="auto" w:line="240" w:before="0" w:after="0"/>
      <w:jc w:val="both"/>
    </w:pPr>
    <w:rPr>
      <w:rFonts w:ascii="Arial Narrow" w:hAnsi="Arial Narrow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znmkapodarou">
    <w:name w:val="Footnote Text"/>
    <w:basedOn w:val="Normal"/>
    <w:link w:val="TextpoznpodarouChar"/>
    <w:uiPriority w:val="99"/>
    <w:semiHidden/>
    <w:unhideWhenUsed/>
    <w:rsid w:val="001e045c"/>
    <w:pPr/>
    <w:rPr/>
  </w:style>
  <w:style w:type="paragraph" w:styleId="Annotationtext">
    <w:name w:val="annotation text"/>
    <w:basedOn w:val="Normal"/>
    <w:link w:val="TextkomenteChar"/>
    <w:uiPriority w:val="99"/>
    <w:unhideWhenUsed/>
    <w:qFormat/>
    <w:rsid w:val="00cd1011"/>
    <w:pPr/>
    <w:rPr/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cd1011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d1011"/>
    <w:pPr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5d3fb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ListParagraph">
    <w:name w:val="List Paragraph"/>
    <w:basedOn w:val="Normal"/>
    <w:uiPriority w:val="34"/>
    <w:qFormat/>
    <w:rsid w:val="00087acc"/>
    <w:pPr>
      <w:spacing w:lineRule="auto" w:line="360" w:before="0" w:after="120"/>
      <w:ind w:left="720" w:hanging="0"/>
      <w:contextualSpacing/>
      <w:jc w:val="both"/>
    </w:pPr>
    <w:rPr>
      <w:rFonts w:ascii="Trebuchet MS" w:hAnsi="Trebuchet MS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0984C-B44C-41CC-BE9D-4F50D7F5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LibreOffice/6.4.7.2$Linux_X86_64 LibreOffice_project/40$Build-2</Application>
  <Pages>3</Pages>
  <Words>867</Words>
  <Characters>5580</Characters>
  <CharactersWithSpaces>6423</CharactersWithSpaces>
  <Paragraphs>62</Paragraphs>
  <Company>CPP UJEP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2019-06-13T07:41:00Z</dcterms:created>
  <dc:creator>zukersteinj</dc:creator>
  <dc:description/>
  <dc:language>cs-CZ</dc:language>
  <cp:lastModifiedBy/>
  <cp:lastPrinted>2019-02-12T13:50:00Z</cp:lastPrinted>
  <dcterms:modified xsi:type="dcterms:W3CDTF">2023-09-12T10:22:05Z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CPP UJEP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